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504C01">
        <w:t>1</w:t>
      </w:r>
      <w:r w:rsidR="006D6DDF">
        <w:t>9</w:t>
      </w:r>
      <w:r w:rsidR="00504C01">
        <w:t xml:space="preserve"> de dezembro</w:t>
      </w:r>
      <w:r w:rsidR="00B66397">
        <w:t xml:space="preserve"> </w:t>
      </w:r>
      <w:r w:rsidR="004D0E14" w:rsidRPr="00376976">
        <w:t>de 2025</w:t>
      </w:r>
      <w:r w:rsidRPr="00376976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44123D" w:rsidRPr="00376976" w:rsidRDefault="0044123D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480CFE" w:rsidRDefault="00480CFE" w:rsidP="00E05FDF">
      <w:pPr>
        <w:spacing w:line="140" w:lineRule="exact"/>
        <w:jc w:val="right"/>
      </w:pPr>
    </w:p>
    <w:p w:rsidR="00480CFE" w:rsidRPr="00376976" w:rsidRDefault="00480CFE" w:rsidP="00E05FDF">
      <w:pPr>
        <w:spacing w:line="140" w:lineRule="exact"/>
        <w:jc w:val="right"/>
      </w:pPr>
    </w:p>
    <w:p w:rsidR="006B2975" w:rsidRDefault="006B2975" w:rsidP="00E05FDF">
      <w:pPr>
        <w:spacing w:line="140" w:lineRule="exact"/>
        <w:jc w:val="right"/>
      </w:pPr>
    </w:p>
    <w:p w:rsidR="00480CFE" w:rsidRPr="00376976" w:rsidRDefault="00480CFE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480CFE" w:rsidRPr="00376976" w:rsidRDefault="00480CFE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400945" w:rsidRPr="00376976" w:rsidRDefault="00400945" w:rsidP="005D44A5">
      <w:pPr>
        <w:spacing w:line="360" w:lineRule="auto"/>
        <w:ind w:firstLine="851"/>
        <w:jc w:val="both"/>
      </w:pPr>
    </w:p>
    <w:p w:rsidR="006B2975" w:rsidRDefault="006B2975" w:rsidP="00DF13D6"/>
    <w:p w:rsidR="00480CFE" w:rsidRPr="00DF13D6" w:rsidRDefault="00480CFE" w:rsidP="00DF13D6"/>
    <w:p w:rsidR="0067648C" w:rsidRDefault="00DF13D6" w:rsidP="00671DED">
      <w:pPr>
        <w:spacing w:after="30" w:line="360" w:lineRule="auto"/>
        <w:ind w:right="-1" w:firstLine="851"/>
        <w:jc w:val="both"/>
      </w:pPr>
      <w:r>
        <w:t>Submeto</w:t>
      </w:r>
      <w:r w:rsidRPr="00DF13D6">
        <w:t xml:space="preserve"> à apreciação desta Egrégia Casa Legislativa o presente Projeto de Lei, </w:t>
      </w:r>
      <w:r>
        <w:t>que “</w:t>
      </w:r>
      <w:r w:rsidR="0067648C">
        <w:t>Autoriza a prorrogação, até 31 de dezembro de 202</w:t>
      </w:r>
      <w:r w:rsidR="00504C01">
        <w:t>6</w:t>
      </w:r>
      <w:r w:rsidR="0067648C">
        <w:t xml:space="preserve">, </w:t>
      </w:r>
      <w:r w:rsidR="00671DED">
        <w:t>d</w:t>
      </w:r>
      <w:r w:rsidR="0067648C">
        <w:t xml:space="preserve">o prazo de vigência do Plano Municipal de Educação – PME de </w:t>
      </w:r>
      <w:r w:rsidR="0067648C" w:rsidRPr="00B87CFA">
        <w:t>Conceição do Coité</w:t>
      </w:r>
      <w:r w:rsidR="00B87CFA">
        <w:t>, Estado da Bahia.</w:t>
      </w:r>
      <w:proofErr w:type="gramStart"/>
      <w:r w:rsidR="00B87CFA">
        <w:t>”</w:t>
      </w:r>
      <w:proofErr w:type="gramEnd"/>
      <w:r w:rsidR="0067648C" w:rsidRPr="00B87CFA">
        <w:t xml:space="preserve"> </w:t>
      </w:r>
    </w:p>
    <w:p w:rsidR="00480CFE" w:rsidRDefault="00480CFE" w:rsidP="00480CFE">
      <w:pPr>
        <w:spacing w:after="30" w:line="40" w:lineRule="exact"/>
        <w:ind w:firstLine="851"/>
        <w:jc w:val="both"/>
      </w:pPr>
    </w:p>
    <w:p w:rsidR="00190E47" w:rsidRPr="00190E47" w:rsidRDefault="00190E47" w:rsidP="00190E47">
      <w:pPr>
        <w:spacing w:before="100" w:beforeAutospacing="1" w:after="100" w:afterAutospacing="1" w:line="360" w:lineRule="auto"/>
        <w:ind w:firstLine="851"/>
        <w:jc w:val="both"/>
      </w:pPr>
      <w:r w:rsidRPr="00190E47">
        <w:t xml:space="preserve">A medida decorre da recente </w:t>
      </w:r>
      <w:r w:rsidRPr="00190E47">
        <w:rPr>
          <w:bCs/>
        </w:rPr>
        <w:t>aprovação do novo Plano Nacional de Educação (PNE)</w:t>
      </w:r>
      <w:r w:rsidRPr="00190E47">
        <w:t>, que estabelece diretrizes, metas e estratégias de alcance decenal para a política educacional brasileira, servindo de referência obrigatória para a elaboração e adequação dos planos estaduais e municipais de educação, nos termos do art. 214 da Constituição Federal.</w:t>
      </w:r>
    </w:p>
    <w:p w:rsidR="00190E47" w:rsidRPr="00190E47" w:rsidRDefault="00190E47" w:rsidP="00190E47">
      <w:pPr>
        <w:spacing w:before="100" w:beforeAutospacing="1" w:after="100" w:afterAutospacing="1" w:line="360" w:lineRule="auto"/>
        <w:ind w:firstLine="851"/>
        <w:jc w:val="both"/>
      </w:pPr>
      <w:r w:rsidRPr="00190E47">
        <w:t xml:space="preserve">Considerando a complexidade técnica e participativa exigida para a elaboração do Plano Municipal de Educação — que envolve diagnóstico da realidade local, definição de metas compatíveis com o novo PNE, estudos de impacto orçamentário e financeiro, além de ampla participação da sociedade —, torna-se necessária </w:t>
      </w:r>
      <w:proofErr w:type="gramStart"/>
      <w:r w:rsidRPr="00190E47">
        <w:t>a</w:t>
      </w:r>
      <w:proofErr w:type="gramEnd"/>
      <w:r w:rsidRPr="00190E47">
        <w:t xml:space="preserve"> concessão de prazo adequado para a construção de um novo plano municipal alinhado ao marco nacional recém-aprovado.</w:t>
      </w:r>
    </w:p>
    <w:p w:rsidR="00190E47" w:rsidRPr="00190E47" w:rsidRDefault="00190E47" w:rsidP="00190E47">
      <w:pPr>
        <w:spacing w:before="100" w:beforeAutospacing="1" w:after="100" w:afterAutospacing="1" w:line="360" w:lineRule="auto"/>
        <w:ind w:firstLine="851"/>
        <w:jc w:val="both"/>
      </w:pPr>
      <w:r w:rsidRPr="00190E47">
        <w:t xml:space="preserve">Nesse contexto, a </w:t>
      </w:r>
      <w:r w:rsidRPr="00190E47">
        <w:rPr>
          <w:bCs/>
        </w:rPr>
        <w:t>prorrogação da vigência do PME atualmente em vigor até 31 de dezembro de 2026</w:t>
      </w:r>
      <w:r w:rsidRPr="00190E47">
        <w:t xml:space="preserve"> assegura a continuidade das políticas educacionais, evita lacunas normativas e garante a segurança jurídica do planejamento educacional do Município, sem prejuízo do acompanhamento e da </w:t>
      </w:r>
      <w:proofErr w:type="gramStart"/>
      <w:r w:rsidRPr="00190E47">
        <w:t>implementação</w:t>
      </w:r>
      <w:proofErr w:type="gramEnd"/>
      <w:r w:rsidRPr="00190E47">
        <w:t xml:space="preserve"> das diretrizes nacionais já estabelecidas.</w:t>
      </w:r>
    </w:p>
    <w:p w:rsidR="00D75CC1" w:rsidRDefault="00D75CC1" w:rsidP="00D75CC1">
      <w:pPr>
        <w:spacing w:before="100" w:beforeAutospacing="1" w:after="100" w:afterAutospacing="1" w:line="120" w:lineRule="exact"/>
        <w:ind w:firstLine="851"/>
        <w:jc w:val="both"/>
      </w:pPr>
    </w:p>
    <w:p w:rsidR="00190E47" w:rsidRPr="00190E47" w:rsidRDefault="00190E47" w:rsidP="00190E47">
      <w:pPr>
        <w:spacing w:before="100" w:beforeAutospacing="1" w:after="100" w:afterAutospacing="1" w:line="360" w:lineRule="auto"/>
        <w:ind w:firstLine="851"/>
        <w:jc w:val="both"/>
      </w:pPr>
      <w:r w:rsidRPr="00190E47">
        <w:t>Ressalte-se que o prazo ora proposto permitirá a elaboração responsável, participativa e tecnicamente consistente do novo Plano Municipal de Educação, em estrita consonância com o PNE, fortalecendo o regime de colaboração entre os entes federativos.</w:t>
      </w:r>
    </w:p>
    <w:p w:rsidR="003A722F" w:rsidRPr="003A722F" w:rsidRDefault="003A722F" w:rsidP="00190E47">
      <w:pPr>
        <w:pStyle w:val="NormalWeb"/>
        <w:spacing w:after="30" w:line="360" w:lineRule="auto"/>
        <w:ind w:firstLine="851"/>
        <w:jc w:val="both"/>
      </w:pPr>
      <w:r>
        <w:rPr>
          <w:color w:val="000000" w:themeColor="text1"/>
        </w:rPr>
        <w:t xml:space="preserve">Dessa forma, </w:t>
      </w:r>
      <w:r>
        <w:t xml:space="preserve">pelas razões expostas, e considerando a urgência da questão, contamos com o apoio dos nobres Pares para a breve apreciação </w:t>
      </w:r>
      <w:r w:rsidR="00190E47">
        <w:t>e aprovação do</w:t>
      </w:r>
      <w:proofErr w:type="gramStart"/>
      <w:r w:rsidR="00190E47">
        <w:t xml:space="preserve"> </w:t>
      </w:r>
      <w:r>
        <w:t xml:space="preserve"> </w:t>
      </w:r>
      <w:proofErr w:type="gramEnd"/>
      <w:r>
        <w:t>presente Projeto de Lei.</w:t>
      </w:r>
    </w:p>
    <w:p w:rsidR="00DF13D6" w:rsidRPr="00DF13D6" w:rsidRDefault="00DF13D6" w:rsidP="00190E47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</w:p>
    <w:p w:rsidR="00DF13D6" w:rsidRPr="00DF13D6" w:rsidRDefault="00DF13D6" w:rsidP="00190E47">
      <w:pPr>
        <w:spacing w:line="360" w:lineRule="auto"/>
        <w:ind w:firstLine="851"/>
        <w:jc w:val="both"/>
        <w:rPr>
          <w:rFonts w:eastAsia="Arial Narrow"/>
        </w:rPr>
      </w:pPr>
    </w:p>
    <w:p w:rsidR="00DD7D39" w:rsidRPr="00DF13D6" w:rsidRDefault="00DD7D39" w:rsidP="00190E47">
      <w:pPr>
        <w:spacing w:line="360" w:lineRule="auto"/>
        <w:ind w:firstLine="851"/>
        <w:jc w:val="both"/>
        <w:rPr>
          <w:rFonts w:eastAsia="Arial Narrow"/>
        </w:rPr>
      </w:pPr>
      <w:r w:rsidRPr="00DF13D6">
        <w:rPr>
          <w:rFonts w:eastAsia="Arial Narrow"/>
        </w:rPr>
        <w:t xml:space="preserve">Atenciosamente, </w:t>
      </w:r>
    </w:p>
    <w:p w:rsidR="00B972BB" w:rsidRPr="00DF13D6" w:rsidRDefault="00B972BB" w:rsidP="00190E47">
      <w:pPr>
        <w:spacing w:line="360" w:lineRule="auto"/>
        <w:ind w:firstLine="851"/>
        <w:jc w:val="both"/>
      </w:pPr>
    </w:p>
    <w:p w:rsidR="006B2975" w:rsidRPr="00DF13D6" w:rsidRDefault="006B2975" w:rsidP="00DF13D6">
      <w:pPr>
        <w:spacing w:line="360" w:lineRule="auto"/>
        <w:jc w:val="both"/>
      </w:pPr>
    </w:p>
    <w:p w:rsidR="00AC76F7" w:rsidRPr="00DF13D6" w:rsidRDefault="00AC76F7" w:rsidP="00DF13D6">
      <w:pPr>
        <w:spacing w:line="360" w:lineRule="auto"/>
        <w:jc w:val="both"/>
      </w:pP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MARCELO PASSOS DE ARAÚJO</w:t>
      </w: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Prefeito Municipal</w:t>
      </w:r>
    </w:p>
    <w:p w:rsidR="00B972BB" w:rsidRPr="00DF13D6" w:rsidRDefault="00B972BB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DF13D6" w:rsidRDefault="00AB1B27" w:rsidP="00DF13D6">
      <w:pPr>
        <w:spacing w:line="360" w:lineRule="auto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Default="00AB1B27" w:rsidP="004A46D1">
      <w:pPr>
        <w:spacing w:line="120" w:lineRule="exact"/>
        <w:jc w:val="center"/>
        <w:rPr>
          <w:b/>
        </w:rPr>
      </w:pPr>
    </w:p>
    <w:p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___</w:t>
      </w:r>
      <w:r w:rsidR="004227E0" w:rsidRPr="00376976">
        <w:rPr>
          <w:b/>
          <w:sz w:val="28"/>
          <w:szCs w:val="28"/>
        </w:rPr>
        <w:t xml:space="preserve"> de </w:t>
      </w:r>
      <w:r w:rsidR="006D6DDF">
        <w:rPr>
          <w:b/>
          <w:sz w:val="28"/>
          <w:szCs w:val="28"/>
        </w:rPr>
        <w:t>19</w:t>
      </w:r>
      <w:r w:rsidR="004D0E14" w:rsidRPr="00376976">
        <w:rPr>
          <w:b/>
          <w:sz w:val="28"/>
          <w:szCs w:val="28"/>
        </w:rPr>
        <w:t xml:space="preserve"> de </w:t>
      </w:r>
      <w:r w:rsidR="00504C01">
        <w:rPr>
          <w:b/>
          <w:sz w:val="28"/>
          <w:szCs w:val="28"/>
        </w:rPr>
        <w:t>dezembro</w:t>
      </w:r>
      <w:r w:rsidR="004D0E14" w:rsidRPr="00376976">
        <w:rPr>
          <w:b/>
          <w:sz w:val="28"/>
          <w:szCs w:val="28"/>
        </w:rPr>
        <w:t xml:space="preserve"> de 202</w:t>
      </w:r>
      <w:r w:rsidR="00504C01">
        <w:rPr>
          <w:b/>
          <w:sz w:val="28"/>
          <w:szCs w:val="28"/>
        </w:rPr>
        <w:t>5</w:t>
      </w: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AB1B27" w:rsidRPr="00376976" w:rsidRDefault="00AB1B27" w:rsidP="004A46D1">
      <w:pPr>
        <w:spacing w:line="100" w:lineRule="exact"/>
        <w:ind w:left="4536"/>
        <w:jc w:val="both"/>
      </w:pP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DF13D6" w:rsidRDefault="00D7575E" w:rsidP="003A722F">
      <w:pPr>
        <w:spacing w:after="30"/>
        <w:ind w:left="4536"/>
        <w:jc w:val="both"/>
      </w:pPr>
      <w:r>
        <w:t>Prorroga</w:t>
      </w:r>
      <w:bookmarkStart w:id="0" w:name="_GoBack"/>
      <w:bookmarkEnd w:id="0"/>
      <w:r w:rsidR="003A722F">
        <w:t xml:space="preserve"> até 31 de dezembro de 202</w:t>
      </w:r>
      <w:r w:rsidR="00504C01">
        <w:t>6</w:t>
      </w:r>
      <w:r w:rsidR="003A722F">
        <w:t xml:space="preserve">, do prazo de vigência do Plano Municipal de Educação – PME de </w:t>
      </w:r>
      <w:r w:rsidR="003A722F" w:rsidRPr="00B87CFA">
        <w:t>Conceição do Coité</w:t>
      </w:r>
      <w:r w:rsidR="003A722F">
        <w:t>, Estado da Bahia.</w:t>
      </w:r>
    </w:p>
    <w:p w:rsidR="00865D3D" w:rsidRPr="003412DA" w:rsidRDefault="00865D3D" w:rsidP="003412DA">
      <w:pPr>
        <w:spacing w:after="30" w:line="360" w:lineRule="auto"/>
        <w:ind w:left="4536" w:right="-1"/>
        <w:jc w:val="both"/>
        <w:rPr>
          <w:color w:val="000000" w:themeColor="text1"/>
        </w:rPr>
      </w:pPr>
    </w:p>
    <w:p w:rsidR="003412DA" w:rsidRDefault="00DF13D6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412DA">
        <w:rPr>
          <w:bCs/>
          <w:color w:val="000000" w:themeColor="text1"/>
        </w:rPr>
        <w:t>O</w:t>
      </w:r>
      <w:r w:rsidRPr="003412DA">
        <w:rPr>
          <w:b/>
          <w:bCs/>
          <w:color w:val="000000" w:themeColor="text1"/>
        </w:rPr>
        <w:t xml:space="preserve"> PREFEITO MUNICIPAL DE CONCEIÇÃO DO COITÉ, ESTADO DA BAHIA</w:t>
      </w:r>
      <w:r w:rsidRPr="003412DA">
        <w:rPr>
          <w:bCs/>
          <w:color w:val="000000" w:themeColor="text1"/>
        </w:rPr>
        <w:t>, no</w:t>
      </w:r>
      <w:r w:rsidR="003412DA">
        <w:rPr>
          <w:bCs/>
          <w:color w:val="000000" w:themeColor="text1"/>
        </w:rPr>
        <w:t xml:space="preserve"> uso de suas atribuições legais;</w:t>
      </w:r>
      <w:r w:rsidRPr="003412DA">
        <w:rPr>
          <w:bCs/>
          <w:color w:val="000000" w:themeColor="text1"/>
        </w:rPr>
        <w:t xml:space="preserve"> </w:t>
      </w: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Cs/>
          <w:color w:val="000000" w:themeColor="text1"/>
        </w:rPr>
      </w:pPr>
      <w:r w:rsidRPr="00376976">
        <w:t>Faço saber que a Câmara Municipal aprovou e eu sanciono e promulgo a seguinte</w:t>
      </w:r>
    </w:p>
    <w:p w:rsid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:rsidR="00DF13D6" w:rsidRPr="003412DA" w:rsidRDefault="003412DA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  <w:r w:rsidRPr="003412DA">
        <w:rPr>
          <w:b/>
          <w:bCs/>
          <w:color w:val="000000" w:themeColor="text1"/>
        </w:rPr>
        <w:t>LEI:</w:t>
      </w:r>
    </w:p>
    <w:p w:rsidR="00DF13D6" w:rsidRPr="003412DA" w:rsidRDefault="00DF13D6" w:rsidP="003412DA">
      <w:pPr>
        <w:tabs>
          <w:tab w:val="left" w:pos="6663"/>
        </w:tabs>
        <w:spacing w:after="30" w:line="360" w:lineRule="auto"/>
        <w:ind w:firstLine="709"/>
        <w:jc w:val="both"/>
        <w:rPr>
          <w:b/>
          <w:bCs/>
          <w:color w:val="000000" w:themeColor="text1"/>
        </w:rPr>
      </w:pPr>
    </w:p>
    <w:p w:rsidR="00190E47" w:rsidRPr="00190E47" w:rsidRDefault="00DF13D6" w:rsidP="00190E47">
      <w:pPr>
        <w:spacing w:line="360" w:lineRule="auto"/>
        <w:ind w:firstLine="709"/>
        <w:jc w:val="both"/>
      </w:pPr>
      <w:r w:rsidRPr="003412DA">
        <w:rPr>
          <w:color w:val="000000" w:themeColor="text1"/>
        </w:rPr>
        <w:t>Art. 1</w:t>
      </w:r>
      <w:r w:rsidRPr="003412DA">
        <w:rPr>
          <w:color w:val="000000" w:themeColor="text1"/>
          <w:u w:val="single"/>
          <w:vertAlign w:val="superscript"/>
        </w:rPr>
        <w:t>o</w:t>
      </w:r>
      <w:r w:rsidR="003412DA">
        <w:rPr>
          <w:color w:val="000000" w:themeColor="text1"/>
        </w:rPr>
        <w:t> </w:t>
      </w:r>
      <w:r w:rsidRPr="003412DA">
        <w:rPr>
          <w:color w:val="000000" w:themeColor="text1"/>
        </w:rPr>
        <w:t xml:space="preserve"> </w:t>
      </w:r>
      <w:r w:rsidR="00190E47">
        <w:t xml:space="preserve">Fica prorrogada a vigência do Plano Municipal de Educação – PME do Município de </w:t>
      </w:r>
      <w:r w:rsidR="00190E47" w:rsidRPr="009B2882">
        <w:t xml:space="preserve">Conceição do Coité, Estado da Bahia, previsto na </w:t>
      </w:r>
      <w:r w:rsidR="00190E47">
        <w:t xml:space="preserve">Lei n.º </w:t>
      </w:r>
      <w:r w:rsidR="00190E47" w:rsidRPr="009B2882">
        <w:t xml:space="preserve">753 de 24 de junho de 2015, </w:t>
      </w:r>
      <w:r w:rsidR="00190E47">
        <w:t>alterada pela L</w:t>
      </w:r>
      <w:r w:rsidR="00190E47" w:rsidRPr="009B2882">
        <w:t>ei n</w:t>
      </w:r>
      <w:r w:rsidR="00190E47">
        <w:t>.</w:t>
      </w:r>
      <w:r w:rsidR="00190E47" w:rsidRPr="009B2882">
        <w:t xml:space="preserve">º 758 de agosto de </w:t>
      </w:r>
      <w:r w:rsidR="00190E47">
        <w:t>2015</w:t>
      </w:r>
      <w:r w:rsidR="00190E47" w:rsidRPr="009B2882">
        <w:t>, que dispõe sobre</w:t>
      </w:r>
      <w:r w:rsidR="00190E47">
        <w:t xml:space="preserve"> as adequações do PME ao Plano Nacional de Educação – PNE </w:t>
      </w:r>
      <w:r w:rsidR="00190E47" w:rsidRPr="00190E47">
        <w:t>até 31 de dezembro de 2026.</w:t>
      </w:r>
    </w:p>
    <w:p w:rsidR="00190E47" w:rsidRDefault="00190E47" w:rsidP="00190E47">
      <w:pPr>
        <w:spacing w:line="360" w:lineRule="auto"/>
        <w:ind w:firstLine="709"/>
        <w:jc w:val="both"/>
      </w:pPr>
    </w:p>
    <w:p w:rsidR="00190E47" w:rsidRPr="00190E47" w:rsidRDefault="00190E47" w:rsidP="00190E47">
      <w:pPr>
        <w:spacing w:line="360" w:lineRule="auto"/>
        <w:ind w:firstLine="709"/>
        <w:jc w:val="both"/>
      </w:pPr>
      <w:r w:rsidRPr="00190E47">
        <w:t>Art. 2º A prorrogação de que trata esta Lei tem por finalidade assegurar a continuidade das políticas públicas educacionais do Município e viabilizar a elaboração do novo Plano Municipal de Educação, em consonância com as diretrizes, metas e estratégias estabelecidas pelo Plano Nacional de Educação (PNE) recentemente aprovado.</w:t>
      </w:r>
    </w:p>
    <w:p w:rsidR="00190E47" w:rsidRPr="00190E47" w:rsidRDefault="00190E47" w:rsidP="00190E47">
      <w:pPr>
        <w:spacing w:line="360" w:lineRule="auto"/>
        <w:ind w:firstLine="709"/>
        <w:jc w:val="both"/>
      </w:pPr>
    </w:p>
    <w:p w:rsidR="00190E47" w:rsidRPr="00190E47" w:rsidRDefault="00190E47" w:rsidP="00190E47">
      <w:pPr>
        <w:spacing w:line="360" w:lineRule="auto"/>
        <w:ind w:firstLine="709"/>
        <w:jc w:val="both"/>
      </w:pPr>
      <w:r w:rsidRPr="00190E47">
        <w:t>Art. 3º Durante o período de prorrogação</w:t>
      </w:r>
      <w:proofErr w:type="gramStart"/>
      <w:r w:rsidRPr="00190E47">
        <w:t>, permanecem</w:t>
      </w:r>
      <w:proofErr w:type="gramEnd"/>
      <w:r w:rsidRPr="00190E47">
        <w:t xml:space="preserve"> válidas e eficazes todas as metas, estratégias, diretrizes e disposições constantes do Plano Municipal de Educação atualmente em vigor, sem prejuízo do acompanhamento, avaliação e adequação progressiva às normas nacionais.</w:t>
      </w:r>
    </w:p>
    <w:p w:rsidR="00190E47" w:rsidRPr="00190E47" w:rsidRDefault="00190E47" w:rsidP="00190E47">
      <w:pPr>
        <w:spacing w:line="360" w:lineRule="auto"/>
        <w:ind w:firstLine="709"/>
        <w:jc w:val="both"/>
      </w:pPr>
    </w:p>
    <w:p w:rsidR="00D75CC1" w:rsidRDefault="00D75CC1" w:rsidP="00190E47">
      <w:pPr>
        <w:spacing w:line="360" w:lineRule="auto"/>
        <w:ind w:firstLine="709"/>
        <w:jc w:val="both"/>
      </w:pPr>
    </w:p>
    <w:p w:rsidR="00190E47" w:rsidRPr="00190E47" w:rsidRDefault="00190E47" w:rsidP="00190E47">
      <w:pPr>
        <w:spacing w:line="360" w:lineRule="auto"/>
        <w:ind w:firstLine="709"/>
        <w:jc w:val="both"/>
      </w:pPr>
      <w:r w:rsidRPr="00190E47">
        <w:t xml:space="preserve">Art. 4º O Poder Executivo adotará as providências necessárias para a elaboração do novo Plano Municipal de Educação, assegurando a participação da sociedade civil, dos profissionais da educação e dos órgãos colegiados </w:t>
      </w:r>
      <w:proofErr w:type="gramStart"/>
      <w:r w:rsidRPr="00190E47">
        <w:t>competentes, observado</w:t>
      </w:r>
      <w:proofErr w:type="gramEnd"/>
      <w:r w:rsidRPr="00190E47">
        <w:t xml:space="preserve"> o regime de colaboração federativa.</w:t>
      </w:r>
    </w:p>
    <w:p w:rsidR="00190E47" w:rsidRPr="00190E47" w:rsidRDefault="00190E47" w:rsidP="00190E47">
      <w:pPr>
        <w:spacing w:line="360" w:lineRule="auto"/>
        <w:ind w:firstLine="709"/>
        <w:jc w:val="both"/>
      </w:pPr>
    </w:p>
    <w:p w:rsidR="00190E47" w:rsidRPr="00190E47" w:rsidRDefault="00190E47" w:rsidP="00190E47">
      <w:pPr>
        <w:spacing w:line="360" w:lineRule="auto"/>
        <w:ind w:firstLine="709"/>
        <w:jc w:val="both"/>
      </w:pPr>
      <w:r w:rsidRPr="00190E47">
        <w:t>Art. 5º Esta Lei entra em vigor na data de sua publicação.</w:t>
      </w:r>
    </w:p>
    <w:p w:rsidR="00DF13D6" w:rsidRPr="00190E47" w:rsidRDefault="00DF13D6" w:rsidP="00190E47">
      <w:pPr>
        <w:spacing w:line="360" w:lineRule="auto"/>
        <w:ind w:firstLine="709"/>
        <w:jc w:val="both"/>
      </w:pPr>
      <w:r w:rsidRPr="00190E47">
        <w:tab/>
      </w:r>
    </w:p>
    <w:p w:rsidR="00480CFE" w:rsidRDefault="00480CFE" w:rsidP="00190E47">
      <w:pPr>
        <w:spacing w:line="360" w:lineRule="auto"/>
        <w:ind w:firstLine="709"/>
        <w:jc w:val="both"/>
      </w:pPr>
    </w:p>
    <w:p w:rsidR="00B370B1" w:rsidRPr="00190E47" w:rsidRDefault="00B370B1" w:rsidP="00190E47">
      <w:pPr>
        <w:spacing w:line="360" w:lineRule="auto"/>
        <w:ind w:firstLine="709"/>
        <w:jc w:val="both"/>
      </w:pPr>
    </w:p>
    <w:p w:rsidR="00DF13D6" w:rsidRPr="00190E47" w:rsidRDefault="00DF13D6" w:rsidP="00D75CC1">
      <w:pPr>
        <w:spacing w:line="360" w:lineRule="auto"/>
        <w:ind w:firstLine="709"/>
        <w:jc w:val="center"/>
      </w:pPr>
      <w:r w:rsidRPr="00190E47">
        <w:t>Gabinete do Prefeito Municipal,</w:t>
      </w:r>
    </w:p>
    <w:p w:rsidR="00DF13D6" w:rsidRPr="00190E47" w:rsidRDefault="00DF13D6" w:rsidP="00D75CC1">
      <w:pPr>
        <w:spacing w:line="360" w:lineRule="auto"/>
        <w:ind w:firstLine="709"/>
        <w:jc w:val="center"/>
      </w:pPr>
      <w:r w:rsidRPr="00190E47">
        <w:t xml:space="preserve">Conceição do Coité, </w:t>
      </w:r>
      <w:r w:rsidR="00504C01" w:rsidRPr="00190E47">
        <w:t>1</w:t>
      </w:r>
      <w:r w:rsidR="006D6DDF">
        <w:t>9</w:t>
      </w:r>
      <w:r w:rsidR="006208C1" w:rsidRPr="00190E47">
        <w:t xml:space="preserve"> </w:t>
      </w:r>
      <w:r w:rsidRPr="00190E47">
        <w:t xml:space="preserve">de </w:t>
      </w:r>
      <w:r w:rsidR="00504C01" w:rsidRPr="00190E47">
        <w:t>dezembro</w:t>
      </w:r>
      <w:r w:rsidRPr="00190E47">
        <w:t xml:space="preserve"> de 2025.</w:t>
      </w:r>
    </w:p>
    <w:p w:rsidR="00480CFE" w:rsidRDefault="00480CFE" w:rsidP="00D75CC1">
      <w:pPr>
        <w:spacing w:line="360" w:lineRule="auto"/>
        <w:ind w:firstLine="709"/>
        <w:jc w:val="center"/>
      </w:pPr>
    </w:p>
    <w:p w:rsidR="006D6DDF" w:rsidRDefault="006D6DDF" w:rsidP="00D75CC1">
      <w:pPr>
        <w:spacing w:line="360" w:lineRule="auto"/>
        <w:ind w:firstLine="709"/>
        <w:jc w:val="center"/>
      </w:pPr>
    </w:p>
    <w:p w:rsidR="006D6DDF" w:rsidRPr="00190E47" w:rsidRDefault="006D6DDF" w:rsidP="00D75CC1">
      <w:pPr>
        <w:spacing w:line="360" w:lineRule="auto"/>
        <w:ind w:firstLine="709"/>
        <w:jc w:val="center"/>
      </w:pPr>
    </w:p>
    <w:p w:rsidR="00DF13D6" w:rsidRPr="006D6DDF" w:rsidRDefault="00DF13D6" w:rsidP="00D75CC1">
      <w:pPr>
        <w:spacing w:line="360" w:lineRule="auto"/>
        <w:ind w:firstLine="709"/>
        <w:jc w:val="center"/>
        <w:rPr>
          <w:b/>
        </w:rPr>
      </w:pPr>
      <w:r w:rsidRPr="006D6DDF">
        <w:rPr>
          <w:b/>
        </w:rPr>
        <w:t>MARCELO PASSOS DE ARAÚJO</w:t>
      </w:r>
    </w:p>
    <w:p w:rsidR="00DF13D6" w:rsidRPr="00190E47" w:rsidRDefault="00DF13D6" w:rsidP="00D75CC1">
      <w:pPr>
        <w:spacing w:line="360" w:lineRule="auto"/>
        <w:ind w:firstLine="709"/>
        <w:jc w:val="center"/>
      </w:pPr>
      <w:r w:rsidRPr="00190E47">
        <w:t>Prefeito Municipal</w:t>
      </w:r>
    </w:p>
    <w:sectPr w:rsidR="00DF13D6" w:rsidRPr="00190E47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2C" w:rsidRDefault="00142F2C">
      <w:r>
        <w:separator/>
      </w:r>
    </w:p>
  </w:endnote>
  <w:endnote w:type="continuationSeparator" w:id="0">
    <w:p w:rsidR="00142F2C" w:rsidRDefault="0014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2C" w:rsidRDefault="00142F2C">
      <w:r>
        <w:separator/>
      </w:r>
    </w:p>
  </w:footnote>
  <w:footnote w:type="continuationSeparator" w:id="0">
    <w:p w:rsidR="00142F2C" w:rsidRDefault="0014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1A39039" wp14:editId="4AE092D4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46DAABB" wp14:editId="1E3B8800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2F2C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0E47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273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4C01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4906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139C"/>
    <w:rsid w:val="00693AAB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6DDF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A7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370B1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669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575E"/>
    <w:rsid w:val="00D75CC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D7F9-485A-46B7-A9D7-61DE5D0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45</TotalTime>
  <Pages>4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8</cp:revision>
  <cp:lastPrinted>2025-12-19T17:45:00Z</cp:lastPrinted>
  <dcterms:created xsi:type="dcterms:W3CDTF">2025-12-18T12:56:00Z</dcterms:created>
  <dcterms:modified xsi:type="dcterms:W3CDTF">2025-12-19T17:56:00Z</dcterms:modified>
</cp:coreProperties>
</file>