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3E" w:rsidRPr="0069203E" w:rsidRDefault="0069203E" w:rsidP="0069203E">
      <w:pPr>
        <w:pStyle w:val="normal0"/>
        <w:jc w:val="center"/>
        <w:rPr>
          <w:b/>
          <w:color w:val="000000"/>
        </w:rPr>
      </w:pPr>
      <w:r w:rsidRPr="0069203E">
        <w:rPr>
          <w:b/>
          <w:color w:val="000000"/>
        </w:rPr>
        <w:t>Autógrafo</w:t>
      </w:r>
    </w:p>
    <w:p w:rsidR="00817A60" w:rsidRPr="0069203E" w:rsidRDefault="00817A60" w:rsidP="00817A60">
      <w:pPr>
        <w:pStyle w:val="Normal1"/>
        <w:jc w:val="center"/>
        <w:rPr>
          <w:b/>
          <w:color w:val="000000"/>
        </w:rPr>
      </w:pPr>
      <w:r w:rsidRPr="0069203E">
        <w:rPr>
          <w:b/>
          <w:color w:val="000000"/>
        </w:rPr>
        <w:t xml:space="preserve">PROJETO DE LEI nº </w:t>
      </w:r>
      <w:r w:rsidR="0060480D" w:rsidRPr="0069203E">
        <w:rPr>
          <w:b/>
          <w:color w:val="000000"/>
        </w:rPr>
        <w:t>72</w:t>
      </w:r>
      <w:r w:rsidR="00DE3F74" w:rsidRPr="0069203E">
        <w:rPr>
          <w:b/>
          <w:color w:val="000000"/>
        </w:rPr>
        <w:t>/</w:t>
      </w:r>
      <w:r w:rsidRPr="0069203E">
        <w:rPr>
          <w:b/>
          <w:color w:val="000000"/>
        </w:rPr>
        <w:t>202</w:t>
      </w:r>
      <w:r w:rsidR="00DE3F74" w:rsidRPr="0069203E">
        <w:rPr>
          <w:b/>
          <w:color w:val="000000"/>
        </w:rPr>
        <w:t>3</w:t>
      </w:r>
    </w:p>
    <w:p w:rsidR="00817A60" w:rsidRPr="0069203E" w:rsidRDefault="00817A60" w:rsidP="00817A60">
      <w:pPr>
        <w:pStyle w:val="Normal1"/>
        <w:ind w:left="4536"/>
        <w:jc w:val="both"/>
      </w:pPr>
    </w:p>
    <w:p w:rsidR="00817A60" w:rsidRDefault="00817A60" w:rsidP="00817A60">
      <w:pPr>
        <w:pStyle w:val="Normal1"/>
        <w:ind w:left="4536"/>
        <w:jc w:val="both"/>
      </w:pPr>
    </w:p>
    <w:p w:rsidR="00817A60" w:rsidRDefault="0060480D" w:rsidP="00817A60">
      <w:pPr>
        <w:pStyle w:val="Normal1"/>
        <w:ind w:left="3969"/>
        <w:jc w:val="both"/>
        <w:rPr>
          <w:rFonts w:cs="Arial"/>
          <w:iCs/>
        </w:rPr>
      </w:pPr>
      <w:r w:rsidRPr="0060480D">
        <w:rPr>
          <w:rFonts w:cs="Arial"/>
          <w:iCs/>
        </w:rPr>
        <w:t xml:space="preserve">Institui 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cs="Arial"/>
          <w:iCs/>
        </w:rPr>
        <w:t>.</w:t>
      </w: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ind w:firstLine="1134"/>
        <w:jc w:val="both"/>
        <w:rPr>
          <w:b/>
          <w:color w:val="000000"/>
        </w:rPr>
      </w:pP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817A60" w:rsidRDefault="00817A60" w:rsidP="00817A60">
      <w:pPr>
        <w:pStyle w:val="Normal1"/>
        <w:spacing w:line="360" w:lineRule="auto"/>
        <w:ind w:firstLine="1134"/>
        <w:jc w:val="both"/>
        <w:rPr>
          <w:color w:val="000000"/>
        </w:rPr>
      </w:pP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bookmarkStart w:id="0" w:name="_gjdgxs"/>
      <w:bookmarkEnd w:id="0"/>
      <w:r w:rsidRPr="0060480D">
        <w:rPr>
          <w:rFonts w:eastAsia="Arial"/>
        </w:rPr>
        <w:t>Art. 1º</w:t>
      </w:r>
      <w:r w:rsidR="00DE3F74">
        <w:rPr>
          <w:rFonts w:eastAsia="Arial"/>
        </w:rPr>
        <w:t xml:space="preserve"> Esta Lei instituí </w:t>
      </w:r>
      <w:r w:rsidRPr="0060480D">
        <w:rPr>
          <w:rFonts w:eastAsia="Arial"/>
        </w:rPr>
        <w:t xml:space="preserve">a Carteira de Identificação da Pessoa com </w:t>
      </w:r>
      <w:r w:rsidR="00DE3F74" w:rsidRPr="00DE3F74">
        <w:rPr>
          <w:rFonts w:cs="Arial"/>
          <w:iCs/>
        </w:rPr>
        <w:t>Transtorno do Espectro Autista e outras deficiências ocultas</w:t>
      </w:r>
      <w:r w:rsidRPr="0060480D">
        <w:rPr>
          <w:rFonts w:eastAsia="Arial"/>
        </w:rPr>
        <w:t>, no Município de Conceição do Coité/BA.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2° A Carteira Municipal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– CIPTEA poderá ser expedida por meio de requerimento devidamente preenchido e assinado pelo interessado e/ou por seu representante legal, acompanhado dos seguintes documentos: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 – laudo ou relatório médico com a indicação do código de Classificação Internacional de Doenças - CID;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 – registro geral (RG) e/ou certidão de nascimento, cadastro de pessoas físicas (CPF), classificação sanguínea, comprovante de residência atualizado e contato telefônico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;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III – fotografia no formato 3 (três) centímetros (cm) x 4 (quatro) centímetros (cm), assinatura e/ou impressão digital da Pessoa com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Pr="0060480D">
        <w:rPr>
          <w:rFonts w:eastAsia="Arial"/>
        </w:rPr>
        <w:t>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IV – registro geral (RG) e/ou certidão de nascimento, cadastro de pessoas físicas (CPF), comprovante de residência atualizado e contato telefônico do representante legal;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O Laudo ou Relatório Médico disposto no inciso I deste artigo, que atesta a condição de pessoa com Transtorno do Espectro Autista – TEA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deverá ser fornecido por médico do Sistema Único de Saúde - SUS ou da rede privada.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3º A carteira de que trata o caput do art. 1º, poderá ser expedida pelo órgão municipal competente, conforme regulamentação, com base em laudo ou relatório médico.</w:t>
      </w:r>
    </w:p>
    <w:p w:rsid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4º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 xml:space="preserve">- </w:t>
      </w:r>
      <w:r w:rsidRPr="0060480D">
        <w:rPr>
          <w:rFonts w:eastAsia="Arial"/>
        </w:rPr>
        <w:t>CIPTEA, poderá ser expedida somente para pessoas residentes no Município de Conceição do Coité/BA.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§1º</w:t>
      </w:r>
      <w:r>
        <w:rPr>
          <w:rFonts w:eastAsia="Arial"/>
        </w:rPr>
        <w:t xml:space="preserve"> </w:t>
      </w:r>
      <w:r w:rsidRPr="00E01840">
        <w:rPr>
          <w:rFonts w:eastAsia="Arial"/>
        </w:rPr>
        <w:t>O portador de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E01840">
        <w:rPr>
          <w:rFonts w:eastAsia="Arial"/>
        </w:rPr>
        <w:t xml:space="preserve"> e o seu representante legal ou acompanhante, munido da CIPTEA, terão direito a: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I – Preferência e prioridade total em todos os órgãos, setores e repartições públicas e particulares que possuam filas e ordem de chegada para fins de atendimento, no âmbito do Município de Conceição do Coité;</w:t>
      </w:r>
    </w:p>
    <w:p w:rsidR="00E01840" w:rsidRPr="00E01840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 xml:space="preserve">II – </w:t>
      </w:r>
      <w:r w:rsidR="00DE3F74" w:rsidRPr="00DE3F74">
        <w:rPr>
          <w:rFonts w:eastAsia="Arial"/>
        </w:rPr>
        <w:t>Meia-entrada para acesso em eventos privados, especialmente em atividades e espetáculos culturais e esportivos, como exposições, feiras, peças teatrais, espetáculos circenses, partidas de futebol e demais eventos esportivos, realizados no âmbito do Município de Conceição do Coité.</w:t>
      </w:r>
    </w:p>
    <w:p w:rsidR="00DE3F74" w:rsidRDefault="00E01840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E01840">
        <w:rPr>
          <w:rFonts w:eastAsia="Arial"/>
        </w:rPr>
        <w:t>§2º</w:t>
      </w:r>
      <w:r>
        <w:rPr>
          <w:rFonts w:eastAsia="Arial"/>
        </w:rPr>
        <w:t xml:space="preserve"> </w:t>
      </w:r>
      <w:r w:rsidR="00DE3F74">
        <w:rPr>
          <w:rFonts w:eastAsia="Arial"/>
        </w:rPr>
        <w:t>O</w:t>
      </w:r>
      <w:r w:rsidR="00DE3F74" w:rsidRPr="00DE3F74">
        <w:rPr>
          <w:rFonts w:eastAsia="Arial"/>
        </w:rPr>
        <w:t xml:space="preserve"> direito de preferência</w:t>
      </w:r>
      <w:r w:rsidR="00DE3F74">
        <w:rPr>
          <w:rFonts w:eastAsia="Arial"/>
        </w:rPr>
        <w:t xml:space="preserve"> de que trata o inciso I, do § 1º, </w:t>
      </w:r>
      <w:r w:rsidR="00DE3F74" w:rsidRPr="00DE3F74">
        <w:rPr>
          <w:rFonts w:eastAsia="Arial"/>
        </w:rPr>
        <w:t>ao representante legal ou acompanhante do portador de Transtorno do Espectro Autista</w:t>
      </w:r>
      <w:r w:rsidR="00DE3F74" w:rsidRPr="00DE3F74">
        <w:rPr>
          <w:rFonts w:cs="Arial"/>
          <w:iCs/>
        </w:rPr>
        <w:t xml:space="preserve"> e outras deficiências ocultas</w:t>
      </w:r>
      <w:r w:rsidR="00DE3F74" w:rsidRPr="00DE3F74">
        <w:rPr>
          <w:rFonts w:eastAsia="Arial"/>
        </w:rPr>
        <w:t xml:space="preserve"> apenas com a presença deste.</w:t>
      </w:r>
    </w:p>
    <w:p w:rsidR="00E01840" w:rsidRPr="0060480D" w:rsidRDefault="00DE3F74" w:rsidP="00E01840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 xml:space="preserve">§ 3º </w:t>
      </w:r>
      <w:r w:rsidR="00E01840" w:rsidRPr="00E01840">
        <w:rPr>
          <w:rFonts w:eastAsia="Arial"/>
        </w:rPr>
        <w:t>O estabelecimento de qualquer natureza que negar os direitos garantidos no parágrafo primeiro deste artigo receberá,</w:t>
      </w:r>
      <w:r w:rsidR="00E01840">
        <w:rPr>
          <w:rFonts w:eastAsia="Arial"/>
        </w:rPr>
        <w:t xml:space="preserve"> </w:t>
      </w:r>
      <w:r w:rsidR="00E01840" w:rsidRPr="00E01840">
        <w:rPr>
          <w:rFonts w:eastAsia="Arial"/>
        </w:rPr>
        <w:t>na primeira autuação, uma advertência por escrito por parte do órgão municipal competente e, em caso de reincidência, estará sujeito a multa.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>
        <w:rPr>
          <w:rFonts w:eastAsia="Arial"/>
        </w:rPr>
        <w:t>A</w:t>
      </w:r>
      <w:r w:rsidRPr="0060480D">
        <w:rPr>
          <w:rFonts w:eastAsia="Arial"/>
        </w:rPr>
        <w:t>rt. 5º 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Pr="0060480D">
        <w:rPr>
          <w:rFonts w:eastAsia="Arial"/>
        </w:rPr>
        <w:t xml:space="preserve"> </w:t>
      </w:r>
      <w:r w:rsidR="00DE3F74">
        <w:rPr>
          <w:rFonts w:eastAsia="Arial"/>
        </w:rPr>
        <w:t>- CIPTEA</w:t>
      </w:r>
      <w:r w:rsidRPr="0060480D">
        <w:rPr>
          <w:rFonts w:eastAsia="Arial"/>
        </w:rPr>
        <w:t>, terá validade de 5 (cinco) anos, devendo ser revalidada com a mesma numeração.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lastRenderedPageBreak/>
        <w:t>Parágrafo único. Poderá ser emitida uma segunda via da Carteira de Identificação da Pessoa com Transtorno do Espectro Autista</w:t>
      </w:r>
      <w:r w:rsidR="00DE3F74">
        <w:rPr>
          <w:rFonts w:eastAsia="Arial"/>
        </w:rPr>
        <w:t xml:space="preserve"> </w:t>
      </w:r>
      <w:r w:rsidR="00DE3F74" w:rsidRPr="00DE3F74">
        <w:rPr>
          <w:rFonts w:cs="Arial"/>
          <w:iCs/>
        </w:rPr>
        <w:t>e outras deficiências ocultas</w:t>
      </w:r>
      <w:r w:rsidR="00DE3F74">
        <w:rPr>
          <w:rFonts w:cs="Arial"/>
          <w:iCs/>
        </w:rPr>
        <w:t xml:space="preserve"> - </w:t>
      </w:r>
      <w:r w:rsidRPr="0060480D">
        <w:rPr>
          <w:rFonts w:eastAsia="Arial"/>
        </w:rPr>
        <w:t xml:space="preserve">CIPTEA, em caso de perda/extravio, mediante apresentação de boletim de ocorrência. </w:t>
      </w:r>
    </w:p>
    <w:p w:rsidR="0060480D" w:rsidRPr="0060480D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 xml:space="preserve">Art. 6º O Poder Executivo Municipal regulamentará esta Lei no que lhe couber. </w:t>
      </w:r>
    </w:p>
    <w:p w:rsidR="00817A60" w:rsidRDefault="0060480D" w:rsidP="0060480D">
      <w:pPr>
        <w:pStyle w:val="Normal1"/>
        <w:widowControl w:val="0"/>
        <w:spacing w:line="360" w:lineRule="auto"/>
        <w:ind w:firstLine="1134"/>
        <w:jc w:val="both"/>
        <w:rPr>
          <w:rFonts w:eastAsia="Arial"/>
        </w:rPr>
      </w:pPr>
      <w:r w:rsidRPr="0060480D">
        <w:rPr>
          <w:rFonts w:eastAsia="Arial"/>
        </w:rPr>
        <w:t>Art. 7º Esta Lei entra em vigor na data de sua publicação.</w:t>
      </w:r>
    </w:p>
    <w:p w:rsidR="00DE3F74" w:rsidRDefault="00DE3F74" w:rsidP="0060480D">
      <w:pPr>
        <w:pStyle w:val="Normal1"/>
        <w:widowControl w:val="0"/>
        <w:spacing w:line="360" w:lineRule="auto"/>
        <w:ind w:firstLine="1134"/>
        <w:jc w:val="both"/>
      </w:pPr>
    </w:p>
    <w:p w:rsidR="004D2BB8" w:rsidRDefault="004D2BB8" w:rsidP="004D2BB8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4D2BB8" w:rsidRDefault="004D2BB8" w:rsidP="004D2BB8">
      <w:pPr>
        <w:pStyle w:val="normal0"/>
        <w:widowControl w:val="0"/>
        <w:spacing w:line="360" w:lineRule="auto"/>
        <w:ind w:firstLine="1134"/>
        <w:jc w:val="center"/>
      </w:pPr>
      <w:r>
        <w:t>Conceição do Coité, 05 de junho de 2024.</w:t>
      </w:r>
    </w:p>
    <w:p w:rsidR="004D2BB8" w:rsidRDefault="004D2BB8" w:rsidP="004D2BB8">
      <w:pPr>
        <w:pStyle w:val="normal0"/>
      </w:pPr>
    </w:p>
    <w:p w:rsidR="004D2BB8" w:rsidRDefault="004D2BB8" w:rsidP="004D2BB8">
      <w:pPr>
        <w:pStyle w:val="normal0"/>
      </w:pPr>
    </w:p>
    <w:p w:rsidR="004D2BB8" w:rsidRDefault="004D2BB8" w:rsidP="004D2BB8">
      <w:pPr>
        <w:pStyle w:val="normal0"/>
      </w:pPr>
    </w:p>
    <w:p w:rsidR="004D2BB8" w:rsidRDefault="004D2BB8" w:rsidP="004D2BB8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4D2BB8" w:rsidRDefault="004D2BB8" w:rsidP="004D2BB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p w:rsidR="0093399D" w:rsidRDefault="0093399D" w:rsidP="004D2BB8">
      <w:pPr>
        <w:pStyle w:val="Normal1"/>
        <w:widowControl w:val="0"/>
        <w:spacing w:line="360" w:lineRule="auto"/>
        <w:ind w:firstLine="1134"/>
        <w:jc w:val="center"/>
        <w:rPr>
          <w:rFonts w:ascii="Courier New" w:eastAsia="Courier New" w:hAnsi="Courier New" w:cs="Courier New"/>
          <w:color w:val="000000"/>
        </w:rPr>
      </w:pPr>
    </w:p>
    <w:sectPr w:rsidR="0093399D" w:rsidSect="00312E59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FD" w:rsidRDefault="009146FD" w:rsidP="001B7316">
      <w:r>
        <w:separator/>
      </w:r>
    </w:p>
  </w:endnote>
  <w:endnote w:type="continuationSeparator" w:id="1">
    <w:p w:rsidR="009146FD" w:rsidRDefault="009146FD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FD" w:rsidRDefault="009146FD" w:rsidP="001B7316">
      <w:r>
        <w:separator/>
      </w:r>
    </w:p>
  </w:footnote>
  <w:footnote w:type="continuationSeparator" w:id="1">
    <w:p w:rsidR="009146FD" w:rsidRDefault="009146FD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1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1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1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14CFE"/>
    <w:rsid w:val="00020888"/>
    <w:rsid w:val="00021014"/>
    <w:rsid w:val="00051B00"/>
    <w:rsid w:val="000874A8"/>
    <w:rsid w:val="000C630C"/>
    <w:rsid w:val="000C798C"/>
    <w:rsid w:val="000D1EB9"/>
    <w:rsid w:val="00101E54"/>
    <w:rsid w:val="001523DF"/>
    <w:rsid w:val="001619D5"/>
    <w:rsid w:val="00183C3F"/>
    <w:rsid w:val="0019611C"/>
    <w:rsid w:val="001A2E1A"/>
    <w:rsid w:val="001B550A"/>
    <w:rsid w:val="001B7316"/>
    <w:rsid w:val="001B7C0B"/>
    <w:rsid w:val="001C7D00"/>
    <w:rsid w:val="001D4DB3"/>
    <w:rsid w:val="00216318"/>
    <w:rsid w:val="00287930"/>
    <w:rsid w:val="00312E59"/>
    <w:rsid w:val="003A3CEA"/>
    <w:rsid w:val="003B3E29"/>
    <w:rsid w:val="003B6A16"/>
    <w:rsid w:val="003F6864"/>
    <w:rsid w:val="004248CA"/>
    <w:rsid w:val="00434C8A"/>
    <w:rsid w:val="00471044"/>
    <w:rsid w:val="004759DD"/>
    <w:rsid w:val="004A48E1"/>
    <w:rsid w:val="004D2BB8"/>
    <w:rsid w:val="004E411C"/>
    <w:rsid w:val="00521470"/>
    <w:rsid w:val="0052312B"/>
    <w:rsid w:val="0057540A"/>
    <w:rsid w:val="00577C4E"/>
    <w:rsid w:val="005D517D"/>
    <w:rsid w:val="005E1B7D"/>
    <w:rsid w:val="005E608A"/>
    <w:rsid w:val="005F0469"/>
    <w:rsid w:val="0060480D"/>
    <w:rsid w:val="006110C6"/>
    <w:rsid w:val="00634E69"/>
    <w:rsid w:val="006370EB"/>
    <w:rsid w:val="00642741"/>
    <w:rsid w:val="0069203E"/>
    <w:rsid w:val="006C6B65"/>
    <w:rsid w:val="00724ECF"/>
    <w:rsid w:val="00731437"/>
    <w:rsid w:val="0073477A"/>
    <w:rsid w:val="0074598F"/>
    <w:rsid w:val="00780F39"/>
    <w:rsid w:val="007915CF"/>
    <w:rsid w:val="007C63B2"/>
    <w:rsid w:val="007D21F9"/>
    <w:rsid w:val="00817A60"/>
    <w:rsid w:val="00860689"/>
    <w:rsid w:val="0090301E"/>
    <w:rsid w:val="009146FD"/>
    <w:rsid w:val="0093399D"/>
    <w:rsid w:val="00935038"/>
    <w:rsid w:val="00937EFD"/>
    <w:rsid w:val="00957607"/>
    <w:rsid w:val="00982743"/>
    <w:rsid w:val="00993424"/>
    <w:rsid w:val="009B3642"/>
    <w:rsid w:val="009C2006"/>
    <w:rsid w:val="009E76CC"/>
    <w:rsid w:val="00A236CC"/>
    <w:rsid w:val="00A60388"/>
    <w:rsid w:val="00A63C95"/>
    <w:rsid w:val="00A73B41"/>
    <w:rsid w:val="00AD6B3A"/>
    <w:rsid w:val="00B03BE2"/>
    <w:rsid w:val="00B05389"/>
    <w:rsid w:val="00B078BC"/>
    <w:rsid w:val="00B85691"/>
    <w:rsid w:val="00BB46D1"/>
    <w:rsid w:val="00BE1A41"/>
    <w:rsid w:val="00BF00D4"/>
    <w:rsid w:val="00C11507"/>
    <w:rsid w:val="00C12BE7"/>
    <w:rsid w:val="00C52BB4"/>
    <w:rsid w:val="00C771B5"/>
    <w:rsid w:val="00C9102C"/>
    <w:rsid w:val="00C91B19"/>
    <w:rsid w:val="00C951A0"/>
    <w:rsid w:val="00CD04C9"/>
    <w:rsid w:val="00CE5311"/>
    <w:rsid w:val="00CE7EE2"/>
    <w:rsid w:val="00CF6BDD"/>
    <w:rsid w:val="00D205AA"/>
    <w:rsid w:val="00D36897"/>
    <w:rsid w:val="00D675AC"/>
    <w:rsid w:val="00D72EAA"/>
    <w:rsid w:val="00DB08F0"/>
    <w:rsid w:val="00DC537E"/>
    <w:rsid w:val="00DD5EAE"/>
    <w:rsid w:val="00DE3F74"/>
    <w:rsid w:val="00E01840"/>
    <w:rsid w:val="00E05EF2"/>
    <w:rsid w:val="00E5741B"/>
    <w:rsid w:val="00EA696F"/>
    <w:rsid w:val="00ED1D15"/>
    <w:rsid w:val="00ED2675"/>
    <w:rsid w:val="00ED57D1"/>
    <w:rsid w:val="00ED7775"/>
    <w:rsid w:val="00F0518C"/>
    <w:rsid w:val="00F373DD"/>
    <w:rsid w:val="00FA3E67"/>
    <w:rsid w:val="00FB1FE1"/>
    <w:rsid w:val="00FE49BA"/>
    <w:rsid w:val="00FF5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1"/>
    <w:next w:val="Normal1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1"/>
    <w:next w:val="Normal1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1"/>
    <w:next w:val="Normal1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customStyle="1" w:styleId="normal0">
    <w:name w:val="normal"/>
    <w:rsid w:val="006920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2024-06-05T12:36:00Z</dcterms:created>
  <dcterms:modified xsi:type="dcterms:W3CDTF">2024-06-05T13:02:00Z</dcterms:modified>
</cp:coreProperties>
</file>