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29" w:rsidRPr="00B21EEE" w:rsidRDefault="00584529" w:rsidP="00584529">
      <w:pPr>
        <w:jc w:val="center"/>
        <w:rPr>
          <w:b/>
          <w:snapToGrid w:val="0"/>
          <w:color w:val="000000"/>
        </w:rPr>
      </w:pPr>
      <w:r w:rsidRPr="00B21EEE">
        <w:rPr>
          <w:b/>
          <w:snapToGrid w:val="0"/>
          <w:color w:val="000000"/>
        </w:rPr>
        <w:t>REDAÇÃO FINAL</w:t>
      </w:r>
    </w:p>
    <w:p w:rsidR="00584529" w:rsidRPr="00B21EEE" w:rsidRDefault="00584529" w:rsidP="00584529">
      <w:pPr>
        <w:jc w:val="center"/>
        <w:rPr>
          <w:b/>
          <w:snapToGrid w:val="0"/>
          <w:color w:val="000000"/>
        </w:rPr>
      </w:pPr>
      <w:r w:rsidRPr="00B21EEE">
        <w:rPr>
          <w:b/>
          <w:snapToGrid w:val="0"/>
          <w:color w:val="000000"/>
        </w:rPr>
        <w:t xml:space="preserve">PROJETO DE LEI </w:t>
      </w:r>
      <w:r w:rsidR="005A511E" w:rsidRPr="00B21EEE">
        <w:rPr>
          <w:b/>
          <w:snapToGrid w:val="0"/>
          <w:color w:val="000000"/>
        </w:rPr>
        <w:t>n</w:t>
      </w:r>
      <w:r w:rsidRPr="00B21EEE">
        <w:rPr>
          <w:b/>
          <w:snapToGrid w:val="0"/>
          <w:color w:val="000000"/>
        </w:rPr>
        <w:t xml:space="preserve">º </w:t>
      </w:r>
      <w:r w:rsidR="006C3108">
        <w:rPr>
          <w:b/>
          <w:snapToGrid w:val="0"/>
          <w:color w:val="000000"/>
        </w:rPr>
        <w:t>5</w:t>
      </w:r>
      <w:r w:rsidR="00C578F4">
        <w:rPr>
          <w:b/>
          <w:snapToGrid w:val="0"/>
          <w:color w:val="000000"/>
        </w:rPr>
        <w:t>8</w:t>
      </w:r>
      <w:r w:rsidRPr="00B21EEE">
        <w:rPr>
          <w:b/>
          <w:snapToGrid w:val="0"/>
          <w:color w:val="000000"/>
        </w:rPr>
        <w:t>/20</w:t>
      </w:r>
      <w:r w:rsidR="005A511E" w:rsidRPr="00B21EEE">
        <w:rPr>
          <w:b/>
          <w:snapToGrid w:val="0"/>
          <w:color w:val="000000"/>
        </w:rPr>
        <w:t>21</w:t>
      </w:r>
    </w:p>
    <w:p w:rsidR="00584529" w:rsidRPr="00B21EEE" w:rsidRDefault="00584529" w:rsidP="00584529">
      <w:pPr>
        <w:ind w:left="4140"/>
        <w:rPr>
          <w:iCs/>
        </w:rPr>
      </w:pPr>
    </w:p>
    <w:p w:rsidR="00584529" w:rsidRPr="00B21EEE" w:rsidRDefault="00C578F4" w:rsidP="00A43450">
      <w:pPr>
        <w:ind w:left="4536"/>
        <w:jc w:val="both"/>
        <w:rPr>
          <w:b/>
          <w:snapToGrid w:val="0"/>
          <w:color w:val="000000"/>
        </w:rPr>
      </w:pPr>
      <w:r w:rsidRPr="00C578F4">
        <w:t>Dispõe sobre o Plano Plurianual do Município de Conceição do Coité para o quadriênio 2022/2025e dá outras providências</w:t>
      </w:r>
      <w:r w:rsidR="00A43450" w:rsidRPr="00B21EEE">
        <w:t>.</w:t>
      </w: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  <w:r w:rsidRPr="00B21EEE">
        <w:rPr>
          <w:b/>
          <w:snapToGrid w:val="0"/>
          <w:color w:val="000000"/>
        </w:rPr>
        <w:t>O</w:t>
      </w:r>
      <w:r w:rsidR="006C3108">
        <w:rPr>
          <w:b/>
          <w:snapToGrid w:val="0"/>
          <w:color w:val="000000"/>
        </w:rPr>
        <w:t xml:space="preserve"> </w:t>
      </w:r>
      <w:r w:rsidRPr="00B21EEE">
        <w:rPr>
          <w:b/>
          <w:snapToGrid w:val="0"/>
          <w:color w:val="000000"/>
        </w:rPr>
        <w:t>PREFEITO MUNICIPAL DE CONCEIÇÃO DO COITÉ</w:t>
      </w:r>
      <w:r w:rsidRPr="00B21EEE">
        <w:rPr>
          <w:snapToGrid w:val="0"/>
          <w:color w:val="000000"/>
        </w:rPr>
        <w:t xml:space="preserve">, </w:t>
      </w:r>
      <w:r w:rsidRPr="00B21EEE">
        <w:rPr>
          <w:b/>
          <w:snapToGrid w:val="0"/>
          <w:color w:val="000000"/>
        </w:rPr>
        <w:t>ESTADO DA BAHIA:</w:t>
      </w: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Pr="00B21EEE" w:rsidRDefault="00584529" w:rsidP="00584529">
      <w:pPr>
        <w:ind w:firstLine="1134"/>
        <w:jc w:val="both"/>
        <w:rPr>
          <w:snapToGrid w:val="0"/>
          <w:color w:val="000000"/>
        </w:rPr>
      </w:pPr>
      <w:r w:rsidRPr="00B21EEE">
        <w:rPr>
          <w:snapToGrid w:val="0"/>
          <w:color w:val="000000"/>
        </w:rPr>
        <w:t xml:space="preserve">Faço saber que a Câmara Municipal </w:t>
      </w:r>
      <w:r w:rsidR="00B21EEE" w:rsidRPr="00B21EEE">
        <w:rPr>
          <w:snapToGrid w:val="0"/>
          <w:color w:val="000000"/>
        </w:rPr>
        <w:t>aprovou</w:t>
      </w:r>
      <w:r w:rsidRPr="00B21EEE">
        <w:rPr>
          <w:snapToGrid w:val="0"/>
          <w:color w:val="000000"/>
        </w:rPr>
        <w:t xml:space="preserve"> eu sanciono e promulgo a seguinte </w:t>
      </w:r>
    </w:p>
    <w:p w:rsidR="00584529" w:rsidRPr="00B21EEE" w:rsidRDefault="00584529" w:rsidP="00584529">
      <w:pPr>
        <w:ind w:firstLine="1134"/>
        <w:jc w:val="both"/>
        <w:rPr>
          <w:b/>
          <w:snapToGrid w:val="0"/>
          <w:color w:val="000000"/>
        </w:rPr>
      </w:pPr>
    </w:p>
    <w:p w:rsidR="00584529" w:rsidRDefault="00584529" w:rsidP="00584529">
      <w:pPr>
        <w:ind w:firstLine="1134"/>
        <w:jc w:val="both"/>
        <w:rPr>
          <w:snapToGrid w:val="0"/>
          <w:color w:val="000000"/>
        </w:rPr>
      </w:pPr>
      <w:r w:rsidRPr="00B21EEE">
        <w:rPr>
          <w:b/>
          <w:snapToGrid w:val="0"/>
          <w:color w:val="000000"/>
        </w:rPr>
        <w:t>LEI</w:t>
      </w:r>
      <w:r w:rsidRPr="00B21EEE">
        <w:rPr>
          <w:snapToGrid w:val="0"/>
          <w:color w:val="000000"/>
        </w:rPr>
        <w:t xml:space="preserve">: </w:t>
      </w:r>
    </w:p>
    <w:p w:rsidR="006C3108" w:rsidRDefault="006C3108" w:rsidP="00584529">
      <w:pPr>
        <w:ind w:firstLine="1134"/>
        <w:jc w:val="both"/>
        <w:rPr>
          <w:snapToGrid w:val="0"/>
          <w:color w:val="000000"/>
        </w:rPr>
      </w:pP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</w:rPr>
        <w:t xml:space="preserve"> Fica instituído o Plano Plurianual para o período compreendido entre os exercícios de 2022/2025, com os anexos que o integra, observadas as disposições contidas no art. 165, da Constituição Federal, no art. 159, da Constituição do Estado, e no art. 117 da Lei Orgânica do Município.</w:t>
      </w: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</w:rPr>
        <w:t xml:space="preserve"> O PPA 2022-2025 está organizado </w:t>
      </w:r>
      <w:r>
        <w:rPr>
          <w:rFonts w:ascii="Times New Roman" w:hAnsi="Times New Roman"/>
          <w:color w:val="000000" w:themeColor="text1"/>
        </w:rPr>
        <w:t xml:space="preserve">em Eixos Estruturantes que incluem o conjunto de Programas e Ações governamentais constantes dos anexos deste </w:t>
      </w:r>
      <w:r>
        <w:rPr>
          <w:rFonts w:ascii="Times New Roman" w:hAnsi="Times New Roman"/>
        </w:rPr>
        <w:t xml:space="preserve">Projeto de Lei, com vistas a estabelecer diretrizes e linhas de intervenções que promovam o crescimento e o desenvolvimento sustentável do Município. </w:t>
      </w: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 1º</w:t>
      </w:r>
      <w:r>
        <w:rPr>
          <w:rFonts w:ascii="Times New Roman" w:hAnsi="Times New Roman"/>
        </w:rPr>
        <w:t xml:space="preserve"> Constituem Eixos Estruturantes norteadores da Administração Pública Municipal: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Apoio Administrativo;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Assistência à Saúde;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Assistência Social e Qualidade de Vida da População;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Avanço e desenvolvimento da Agricultura e Meio Ambiente;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Cultura;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Desenvolvimento da Comunicação;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Educação;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Esporte é Saúde;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Incentivo do Comércio e Turismo;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Infraestrutura para o Desenvolvimento;</w:t>
      </w:r>
    </w:p>
    <w:p w:rsidR="00C578F4" w:rsidRDefault="00C578F4" w:rsidP="00C578F4">
      <w:pPr>
        <w:pStyle w:val="Default"/>
        <w:numPr>
          <w:ilvl w:val="0"/>
          <w:numId w:val="8"/>
        </w:numPr>
        <w:ind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 xml:space="preserve">Reserva de </w:t>
      </w:r>
      <w:r w:rsidR="00675728">
        <w:rPr>
          <w:rFonts w:ascii="Times New Roman" w:hAnsi="Times New Roman"/>
          <w:color w:val="auto"/>
        </w:rPr>
        <w:t>Contingência</w:t>
      </w:r>
      <w:r>
        <w:rPr>
          <w:rFonts w:ascii="Times New Roman" w:hAnsi="Times New Roman"/>
          <w:color w:val="auto"/>
        </w:rPr>
        <w:t>.</w:t>
      </w:r>
    </w:p>
    <w:p w:rsidR="00C578F4" w:rsidRDefault="00C578F4" w:rsidP="00C578F4">
      <w:pPr>
        <w:pStyle w:val="Default"/>
        <w:ind w:firstLine="69"/>
        <w:jc w:val="both"/>
        <w:rPr>
          <w:rFonts w:ascii="Times New Roman" w:hAnsi="Times New Roman"/>
          <w:color w:val="FF0000"/>
        </w:rPr>
      </w:pP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§ 2º</w:t>
      </w:r>
      <w:r>
        <w:rPr>
          <w:rFonts w:ascii="Times New Roman" w:hAnsi="Times New Roman"/>
          <w:color w:val="000000" w:themeColor="text1"/>
        </w:rPr>
        <w:t xml:space="preserve"> Os programas constituídos pela Administração Pública Municipal de Conceição do Coité e constantes dos anexos do Plano Plurianual instituídos por esta Lei, são os seguintes:</w:t>
      </w:r>
    </w:p>
    <w:p w:rsidR="00C578F4" w:rsidRDefault="00C578F4" w:rsidP="00C578F4">
      <w:pPr>
        <w:pStyle w:val="Default"/>
        <w:ind w:left="709" w:firstLine="1134"/>
        <w:jc w:val="both"/>
        <w:rPr>
          <w:rFonts w:ascii="Times New Roman" w:hAnsi="Times New Roman"/>
          <w:color w:val="FF0000"/>
        </w:rPr>
      </w:pP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lastRenderedPageBreak/>
        <w:t>I – no âmbito do Poder Executivo: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Gestão Moderna e Responsável;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Saúde Acolhedora, inclusiva e para todos;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Educação com Gestão Humanizada;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Apoio a Cultura, Esporte e Lazer;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Fortalecimento da Política Municipal de Assistência Social;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Fomento das Ações de Comunicação e Relações Institucionais;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Fortalecer a Agricultura e Meio Ambiente</w:t>
      </w:r>
      <w:r>
        <w:rPr>
          <w:rFonts w:ascii="Times New Roman" w:hAnsi="Times New Roman"/>
          <w:color w:val="FF0000"/>
        </w:rPr>
        <w:t>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Infraestrutura rumo ao crescimento;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Incentivo a Indústria,Comércio,Serviços e Turismo;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Segurança e Cidadania;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Modernização no Esporte;</w:t>
      </w:r>
    </w:p>
    <w:p w:rsidR="00C578F4" w:rsidRDefault="00C578F4" w:rsidP="00C578F4">
      <w:pPr>
        <w:pStyle w:val="Default"/>
        <w:numPr>
          <w:ilvl w:val="0"/>
          <w:numId w:val="10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Reserva de Contingência.</w:t>
      </w:r>
    </w:p>
    <w:p w:rsidR="00C578F4" w:rsidRDefault="00C578F4" w:rsidP="00C578F4">
      <w:pPr>
        <w:pStyle w:val="Default"/>
        <w:ind w:left="1065" w:firstLine="1134"/>
        <w:jc w:val="both"/>
        <w:rPr>
          <w:rFonts w:ascii="Times New Roman" w:hAnsi="Times New Roman"/>
          <w:color w:val="FF0000"/>
        </w:rPr>
      </w:pP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II – no âmbito do Poder Legislativo: </w:t>
      </w:r>
      <w:r>
        <w:rPr>
          <w:rFonts w:ascii="Times New Roman" w:hAnsi="Times New Roman"/>
          <w:color w:val="auto"/>
        </w:rPr>
        <w:t>Legislativo Forte e Atuante</w:t>
      </w: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  <w:color w:val="FF0000"/>
        </w:rPr>
      </w:pP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§ 3º</w:t>
      </w:r>
      <w:r>
        <w:rPr>
          <w:rFonts w:ascii="Times New Roman" w:hAnsi="Times New Roman"/>
          <w:color w:val="000000" w:themeColor="text1"/>
        </w:rPr>
        <w:t xml:space="preserve"> Cada programa constante do presente Plano é composto por:</w:t>
      </w: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I - </w:t>
      </w:r>
      <w:r>
        <w:rPr>
          <w:rFonts w:ascii="Times New Roman" w:hAnsi="Times New Roman"/>
          <w:color w:val="000000" w:themeColor="text1"/>
        </w:rPr>
        <w:t>ações necessárias à consecução das políticas públicas prioritárias para a Administração Municipal, com as respectivas metas físicas e financeiras;</w:t>
      </w: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II - valor global e respectivas fontes de financiamento; </w:t>
      </w:r>
    </w:p>
    <w:p w:rsidR="00C578F4" w:rsidRDefault="00C578F4" w:rsidP="00C578F4">
      <w:pPr>
        <w:pStyle w:val="Default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III - indicadores e órgão responsável pela sua implementação.</w:t>
      </w:r>
    </w:p>
    <w:p w:rsidR="00C578F4" w:rsidRDefault="00C578F4" w:rsidP="00C578F4">
      <w:pPr>
        <w:ind w:firstLine="1134"/>
        <w:jc w:val="both"/>
        <w:rPr>
          <w:rFonts w:cs="Arial"/>
          <w:b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Art. 3º</w:t>
      </w:r>
      <w:r>
        <w:rPr>
          <w:rFonts w:cs="Arial"/>
          <w:color w:val="000000" w:themeColor="text1"/>
        </w:rPr>
        <w:t xml:space="preserve"> O Plano Plurianual será executado nos termos da Lei de Diretrizes Orçamentárias de cada exercício e da Lei de Orçamento Anual.</w:t>
      </w:r>
    </w:p>
    <w:p w:rsidR="00C578F4" w:rsidRDefault="00C578F4" w:rsidP="00C578F4">
      <w:pPr>
        <w:ind w:firstLine="1134"/>
        <w:jc w:val="both"/>
        <w:rPr>
          <w:rFonts w:cs="Arial"/>
          <w:color w:val="000000" w:themeColor="text1"/>
        </w:rPr>
      </w:pPr>
    </w:p>
    <w:p w:rsidR="00C578F4" w:rsidRDefault="00C578F4" w:rsidP="00C578F4">
      <w:pPr>
        <w:ind w:left="57" w:firstLine="1077"/>
        <w:jc w:val="both"/>
      </w:pPr>
      <w:r>
        <w:rPr>
          <w:rFonts w:cs="Arial"/>
          <w:b/>
        </w:rPr>
        <w:t>§ 1º.</w:t>
      </w:r>
      <w:r>
        <w:rPr>
          <w:rFonts w:cs="Arial"/>
        </w:rPr>
        <w:t xml:space="preserve"> A Lei de Diretrizes Orçamentárias estab</w:t>
      </w:r>
      <w:r w:rsidR="00675728">
        <w:rPr>
          <w:rFonts w:cs="Arial"/>
        </w:rPr>
        <w:t xml:space="preserve">elecerá as metas e prioridades </w:t>
      </w:r>
      <w:r>
        <w:rPr>
          <w:rFonts w:cs="Arial"/>
        </w:rPr>
        <w:t>para cada ano, podendo promover os aju</w:t>
      </w:r>
      <w:r w:rsidR="00675728">
        <w:rPr>
          <w:rFonts w:cs="Arial"/>
        </w:rPr>
        <w:t xml:space="preserve">stes eventualmente necessários </w:t>
      </w:r>
      <w:r>
        <w:rPr>
          <w:rFonts w:cs="Arial"/>
        </w:rPr>
        <w:t>ao</w:t>
      </w:r>
      <w:r w:rsidR="00675728">
        <w:rPr>
          <w:rFonts w:cs="Arial"/>
        </w:rPr>
        <w:t xml:space="preserve"> </w:t>
      </w:r>
      <w:r>
        <w:rPr>
          <w:rFonts w:cs="Arial"/>
        </w:rPr>
        <w:t xml:space="preserve">Plano </w:t>
      </w:r>
      <w:r w:rsidR="00675728">
        <w:rPr>
          <w:rFonts w:cs="Arial"/>
        </w:rPr>
        <w:t>P</w:t>
      </w:r>
      <w:r>
        <w:rPr>
          <w:rFonts w:cs="Arial"/>
        </w:rPr>
        <w:t>lurianual</w:t>
      </w:r>
      <w:r>
        <w:rPr>
          <w:rFonts w:cs="Arial"/>
          <w:color w:val="2F5496" w:themeColor="accent5" w:themeShade="BF"/>
        </w:rPr>
        <w:t>.</w:t>
      </w:r>
    </w:p>
    <w:p w:rsidR="00C578F4" w:rsidRDefault="00C578F4" w:rsidP="00C578F4">
      <w:pPr>
        <w:ind w:firstLine="1077"/>
        <w:jc w:val="both"/>
      </w:pPr>
      <w:r>
        <w:rPr>
          <w:rFonts w:cs="Arial"/>
          <w:b/>
          <w:color w:val="000000" w:themeColor="text1"/>
        </w:rPr>
        <w:t>§ 2º.</w:t>
      </w:r>
      <w:r>
        <w:rPr>
          <w:rFonts w:cs="Arial"/>
          <w:color w:val="000000" w:themeColor="text1"/>
        </w:rPr>
        <w:t xml:space="preserve"> As leis orçamentárias anuais para o período de 2022 a 2025 devem ser compatíveis com os programas, ações e metas constantes desta Lei.</w:t>
      </w:r>
    </w:p>
    <w:p w:rsidR="00C578F4" w:rsidRDefault="00C578F4" w:rsidP="00C578F4">
      <w:pPr>
        <w:ind w:firstLine="1077"/>
        <w:jc w:val="both"/>
      </w:pPr>
      <w:r>
        <w:rPr>
          <w:rFonts w:cs="Arial"/>
          <w:b/>
          <w:color w:val="000000" w:themeColor="text1"/>
        </w:rPr>
        <w:t xml:space="preserve">§ 3º. </w:t>
      </w:r>
      <w:r>
        <w:rPr>
          <w:rFonts w:cs="Arial"/>
          <w:color w:val="000000" w:themeColor="text1"/>
        </w:rPr>
        <w:t xml:space="preserve">As metas referidas no parágrafo anterior norteiam as ações da   Administração Municipal e correspondem a quantidades e valores estimados, não constituindo limites para o cumprimento dos objetivos do </w:t>
      </w:r>
      <w:r>
        <w:rPr>
          <w:rFonts w:cs="Arial"/>
          <w:color w:val="000000" w:themeColor="text1"/>
        </w:rPr>
        <w:tab/>
        <w:t>plano de que trata esta Lei.</w:t>
      </w:r>
    </w:p>
    <w:p w:rsidR="00C578F4" w:rsidRDefault="00C578F4" w:rsidP="00C578F4">
      <w:pPr>
        <w:ind w:firstLine="1134"/>
        <w:jc w:val="both"/>
        <w:rPr>
          <w:rFonts w:cs="Arial"/>
          <w:b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Art. 4º</w:t>
      </w:r>
      <w:r>
        <w:rPr>
          <w:rFonts w:cs="Arial"/>
          <w:color w:val="000000" w:themeColor="text1"/>
        </w:rPr>
        <w:t xml:space="preserve"> Os objetivos e metas da Administração para o quadriênio 2022/2025 serão financiados com os recursos previstos em Anexo desta Lei, orçados a preços correntes.</w:t>
      </w:r>
    </w:p>
    <w:p w:rsidR="00C578F4" w:rsidRDefault="00C578F4" w:rsidP="00C578F4">
      <w:pPr>
        <w:ind w:firstLine="1134"/>
        <w:jc w:val="both"/>
        <w:rPr>
          <w:rFonts w:cs="Arial"/>
          <w:b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Art. 5º</w:t>
      </w:r>
      <w:r>
        <w:rPr>
          <w:rFonts w:cs="Arial"/>
          <w:color w:val="000000" w:themeColor="text1"/>
        </w:rPr>
        <w:t xml:space="preserve"> O Plano Plurianual poderá sofrer revisões, mediante projeto de lei de iniciativa do Poder Executivo, visando ajustá-lo ao contexto macroeconômico, ao ordenamento jurídico e às necessidades sociais e/ou econômicas.</w:t>
      </w:r>
    </w:p>
    <w:p w:rsidR="00C578F4" w:rsidRDefault="00C578F4" w:rsidP="00C578F4">
      <w:pPr>
        <w:ind w:firstLine="1134"/>
        <w:jc w:val="both"/>
        <w:rPr>
          <w:rFonts w:cs="Arial"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Parágrafo Único</w:t>
      </w:r>
      <w:r w:rsidR="00675728">
        <w:rPr>
          <w:rFonts w:cs="Arial"/>
          <w:b/>
          <w:color w:val="000000" w:themeColor="text1"/>
        </w:rPr>
        <w:t xml:space="preserve">. </w:t>
      </w:r>
      <w:r>
        <w:rPr>
          <w:rFonts w:cs="Arial"/>
          <w:color w:val="000000" w:themeColor="text1"/>
        </w:rPr>
        <w:t>Considera-se revisão do PPA 2022/2025 a inclusão, exclusão ou alteração em programas, indicadores, ações orçamentárias, objetivos, produtos, unidades de medida e metas físicas.</w:t>
      </w:r>
    </w:p>
    <w:p w:rsidR="00C578F4" w:rsidRDefault="00C578F4" w:rsidP="00C578F4">
      <w:pPr>
        <w:ind w:firstLine="1134"/>
        <w:jc w:val="both"/>
        <w:rPr>
          <w:rFonts w:cs="Arial"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Art. 6º</w:t>
      </w:r>
      <w:r>
        <w:rPr>
          <w:rFonts w:cs="Arial"/>
          <w:color w:val="000000" w:themeColor="text1"/>
        </w:rPr>
        <w:t xml:space="preserve"> A inclusão, exclusão ou alteração de ações orçamentárias e de suas metas que envolvam recursos do orçamento municipal seguirão as diretrizes da Lei Orçamentária Anual.</w:t>
      </w:r>
    </w:p>
    <w:p w:rsidR="00C578F4" w:rsidRDefault="00C578F4" w:rsidP="00C578F4">
      <w:pPr>
        <w:ind w:firstLine="1134"/>
        <w:jc w:val="both"/>
        <w:rPr>
          <w:rFonts w:cs="Arial"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Art. 7º</w:t>
      </w:r>
      <w:r>
        <w:rPr>
          <w:rFonts w:cs="Arial"/>
          <w:color w:val="000000" w:themeColor="text1"/>
        </w:rPr>
        <w:t xml:space="preserve"> Fica o Poder Executivo autorizado a alterar os indicadores de programas e a incluir, excluir ou alterar ações e suas respectivas metas, sempre que tais modificações não requeiram mudanças no valor total do orçamento aprovado para o exercício.</w:t>
      </w:r>
    </w:p>
    <w:p w:rsidR="00C578F4" w:rsidRDefault="00C578F4" w:rsidP="00C578F4">
      <w:pPr>
        <w:ind w:firstLine="1134"/>
        <w:jc w:val="both"/>
        <w:rPr>
          <w:rFonts w:cs="Arial"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Art. 8º</w:t>
      </w:r>
      <w:r>
        <w:rPr>
          <w:rFonts w:cs="Arial"/>
          <w:color w:val="000000" w:themeColor="text1"/>
        </w:rPr>
        <w:t xml:space="preserve"> O Poder Executivo enviará à Câmara de Vereadores até o dia 31 de dezembro de cada exercício, relatório de avaliação dos resultados da implantação deste Plano.</w:t>
      </w:r>
    </w:p>
    <w:p w:rsidR="00C578F4" w:rsidRDefault="00C578F4" w:rsidP="00C578F4">
      <w:pPr>
        <w:ind w:firstLine="1134"/>
        <w:jc w:val="both"/>
        <w:rPr>
          <w:rFonts w:cs="Arial"/>
          <w:color w:val="000000" w:themeColor="text1"/>
        </w:rPr>
      </w:pPr>
    </w:p>
    <w:p w:rsidR="00C578F4" w:rsidRDefault="00C578F4" w:rsidP="00C578F4">
      <w:pPr>
        <w:ind w:firstLine="1134"/>
        <w:jc w:val="both"/>
      </w:pPr>
      <w:r>
        <w:rPr>
          <w:rFonts w:cs="Arial"/>
          <w:b/>
          <w:color w:val="000000" w:themeColor="text1"/>
        </w:rPr>
        <w:t>Art. 9º</w:t>
      </w:r>
      <w:r>
        <w:rPr>
          <w:rFonts w:cs="Arial"/>
          <w:color w:val="000000" w:themeColor="text1"/>
        </w:rPr>
        <w:t xml:space="preserve"> Esta Lei entra em vigor na data de sua publicação. </w:t>
      </w:r>
    </w:p>
    <w:p w:rsidR="00743CF3" w:rsidRPr="00B21EEE" w:rsidRDefault="00743CF3" w:rsidP="00743CF3">
      <w:pPr>
        <w:ind w:firstLine="1134"/>
        <w:jc w:val="both"/>
      </w:pPr>
    </w:p>
    <w:p w:rsidR="00584529" w:rsidRPr="00B21EEE" w:rsidRDefault="00584529" w:rsidP="00373960">
      <w:pPr>
        <w:ind w:left="426" w:firstLine="708"/>
        <w:jc w:val="center"/>
      </w:pPr>
      <w:r w:rsidRPr="00B21EEE">
        <w:t xml:space="preserve">Conceição do Coité, </w:t>
      </w:r>
      <w:r w:rsidR="006C3108">
        <w:t>20 de dezembro</w:t>
      </w:r>
      <w:r w:rsidR="005A511E" w:rsidRPr="00B21EEE">
        <w:t xml:space="preserve"> de 2021</w:t>
      </w:r>
      <w:r w:rsidRPr="00B21EEE">
        <w:t>.</w:t>
      </w:r>
    </w:p>
    <w:p w:rsidR="00584529" w:rsidRPr="00B21EEE" w:rsidRDefault="00584529" w:rsidP="00373960">
      <w:pPr>
        <w:ind w:left="426" w:firstLine="708"/>
        <w:jc w:val="center"/>
      </w:pPr>
    </w:p>
    <w:p w:rsidR="00373960" w:rsidRPr="00B21EEE" w:rsidRDefault="00373960" w:rsidP="00373960">
      <w:pPr>
        <w:ind w:left="426" w:firstLine="708"/>
        <w:jc w:val="center"/>
      </w:pPr>
    </w:p>
    <w:p w:rsidR="00B21EEE" w:rsidRDefault="006C3108" w:rsidP="00373960">
      <w:pPr>
        <w:ind w:left="426" w:firstLine="708"/>
        <w:jc w:val="center"/>
      </w:pPr>
      <w:r>
        <w:t>Lindo de Neuza</w:t>
      </w:r>
    </w:p>
    <w:p w:rsidR="000F340E" w:rsidRPr="00B21EEE" w:rsidRDefault="000F340E" w:rsidP="00373960">
      <w:pPr>
        <w:ind w:left="426" w:firstLine="708"/>
        <w:jc w:val="center"/>
      </w:pPr>
      <w:r>
        <w:t xml:space="preserve">Relator </w:t>
      </w:r>
      <w:r w:rsidR="00450EED">
        <w:t>na Comissão de Justiça</w:t>
      </w:r>
    </w:p>
    <w:sectPr w:rsidR="000F340E" w:rsidRPr="00B21EEE" w:rsidSect="008956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7FB" w:rsidRDefault="004E17FB" w:rsidP="00584529">
      <w:r>
        <w:separator/>
      </w:r>
    </w:p>
  </w:endnote>
  <w:endnote w:type="continuationSeparator" w:id="1">
    <w:p w:rsidR="004E17FB" w:rsidRDefault="004E17FB" w:rsidP="0058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7FB" w:rsidRDefault="004E17FB" w:rsidP="00584529">
      <w:r>
        <w:separator/>
      </w:r>
    </w:p>
  </w:footnote>
  <w:footnote w:type="continuationSeparator" w:id="1">
    <w:p w:rsidR="004E17FB" w:rsidRDefault="004E17FB" w:rsidP="00584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29" w:rsidRDefault="00584529">
    <w:pPr>
      <w:pStyle w:val="Cabealho"/>
    </w:pPr>
  </w:p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88"/>
      <w:gridCol w:w="7654"/>
    </w:tblGrid>
    <w:tr w:rsidR="00584529" w:rsidRPr="000A30F7" w:rsidTr="000E6013">
      <w:trPr>
        <w:trHeight w:val="1276"/>
      </w:trPr>
      <w:tc>
        <w:tcPr>
          <w:tcW w:w="1488" w:type="dxa"/>
        </w:tcPr>
        <w:p w:rsidR="00584529" w:rsidRDefault="00875641" w:rsidP="00584529">
          <w:r>
            <w:rPr>
              <w:noProof/>
            </w:rPr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266464</wp:posOffset>
                </wp:positionH>
                <wp:positionV relativeFrom="paragraph">
                  <wp:posOffset>-30944</wp:posOffset>
                </wp:positionV>
                <wp:extent cx="558851" cy="760781"/>
                <wp:effectExtent l="1905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51" cy="760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584529" w:rsidRDefault="00584529" w:rsidP="00584529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584529" w:rsidRDefault="00584529" w:rsidP="0058452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584529" w:rsidRPr="000A30F7" w:rsidRDefault="005A511E" w:rsidP="00584529">
          <w:pPr>
            <w:pStyle w:val="Ttulo1"/>
          </w:pPr>
          <w:r>
            <w:t>Comissão de Justiça</w:t>
          </w:r>
        </w:p>
      </w:tc>
    </w:tr>
  </w:tbl>
  <w:p w:rsidR="00584529" w:rsidRDefault="00584529">
    <w:pPr>
      <w:pStyle w:val="Cabealho"/>
    </w:pPr>
  </w:p>
  <w:p w:rsidR="00584529" w:rsidRDefault="005845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D49"/>
    <w:multiLevelType w:val="multilevel"/>
    <w:tmpl w:val="A210E58C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B5646D7"/>
    <w:multiLevelType w:val="multilevel"/>
    <w:tmpl w:val="BB32FB4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nsid w:val="3287208B"/>
    <w:multiLevelType w:val="multilevel"/>
    <w:tmpl w:val="F476F0B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7DC3A0D"/>
    <w:multiLevelType w:val="hybridMultilevel"/>
    <w:tmpl w:val="8A10E884"/>
    <w:lvl w:ilvl="0" w:tplc="B80EA94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B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AD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83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C7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67A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D8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5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D51E14"/>
    <w:multiLevelType w:val="multilevel"/>
    <w:tmpl w:val="33D86A1A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5">
    <w:nsid w:val="649322BE"/>
    <w:multiLevelType w:val="hybridMultilevel"/>
    <w:tmpl w:val="28500CD6"/>
    <w:lvl w:ilvl="0" w:tplc="B10EE9B6">
      <w:start w:val="1"/>
      <w:numFmt w:val="upperRoman"/>
      <w:lvlText w:val="%1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45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A6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89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6D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42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E2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E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20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ECF559D"/>
    <w:multiLevelType w:val="hybridMultilevel"/>
    <w:tmpl w:val="80B8B1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4B501CF"/>
    <w:multiLevelType w:val="hybridMultilevel"/>
    <w:tmpl w:val="027EDE7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84B2E19"/>
    <w:multiLevelType w:val="multilevel"/>
    <w:tmpl w:val="299A5BE8"/>
    <w:lvl w:ilvl="0">
      <w:start w:val="1"/>
      <w:numFmt w:val="upperRoman"/>
      <w:lvlText w:val="%1."/>
      <w:lvlJc w:val="right"/>
      <w:pPr>
        <w:tabs>
          <w:tab w:val="num" w:pos="1706"/>
        </w:tabs>
        <w:ind w:left="2771" w:hanging="360"/>
      </w:pPr>
    </w:lvl>
    <w:lvl w:ilvl="1">
      <w:start w:val="1"/>
      <w:numFmt w:val="lowerLetter"/>
      <w:lvlText w:val="%2."/>
      <w:lvlJc w:val="left"/>
      <w:pPr>
        <w:tabs>
          <w:tab w:val="num" w:pos="1706"/>
        </w:tabs>
        <w:ind w:left="3491" w:hanging="360"/>
      </w:pPr>
    </w:lvl>
    <w:lvl w:ilvl="2">
      <w:start w:val="1"/>
      <w:numFmt w:val="lowerRoman"/>
      <w:lvlText w:val="%3."/>
      <w:lvlJc w:val="right"/>
      <w:pPr>
        <w:tabs>
          <w:tab w:val="num" w:pos="1706"/>
        </w:tabs>
        <w:ind w:left="4211" w:hanging="180"/>
      </w:pPr>
    </w:lvl>
    <w:lvl w:ilvl="3">
      <w:start w:val="1"/>
      <w:numFmt w:val="decimal"/>
      <w:lvlText w:val="%4."/>
      <w:lvlJc w:val="left"/>
      <w:pPr>
        <w:tabs>
          <w:tab w:val="num" w:pos="1706"/>
        </w:tabs>
        <w:ind w:left="4931" w:hanging="360"/>
      </w:pPr>
    </w:lvl>
    <w:lvl w:ilvl="4">
      <w:start w:val="1"/>
      <w:numFmt w:val="lowerLetter"/>
      <w:lvlText w:val="%5."/>
      <w:lvlJc w:val="left"/>
      <w:pPr>
        <w:tabs>
          <w:tab w:val="num" w:pos="1706"/>
        </w:tabs>
        <w:ind w:left="5651" w:hanging="360"/>
      </w:pPr>
    </w:lvl>
    <w:lvl w:ilvl="5">
      <w:start w:val="1"/>
      <w:numFmt w:val="lowerRoman"/>
      <w:lvlText w:val="%6."/>
      <w:lvlJc w:val="right"/>
      <w:pPr>
        <w:tabs>
          <w:tab w:val="num" w:pos="1706"/>
        </w:tabs>
        <w:ind w:left="6371" w:hanging="180"/>
      </w:pPr>
    </w:lvl>
    <w:lvl w:ilvl="6">
      <w:start w:val="1"/>
      <w:numFmt w:val="decimal"/>
      <w:lvlText w:val="%7."/>
      <w:lvlJc w:val="left"/>
      <w:pPr>
        <w:tabs>
          <w:tab w:val="num" w:pos="1706"/>
        </w:tabs>
        <w:ind w:left="7091" w:hanging="360"/>
      </w:pPr>
    </w:lvl>
    <w:lvl w:ilvl="7">
      <w:start w:val="1"/>
      <w:numFmt w:val="lowerLetter"/>
      <w:lvlText w:val="%8."/>
      <w:lvlJc w:val="left"/>
      <w:pPr>
        <w:tabs>
          <w:tab w:val="num" w:pos="1706"/>
        </w:tabs>
        <w:ind w:left="7811" w:hanging="360"/>
      </w:pPr>
    </w:lvl>
    <w:lvl w:ilvl="8">
      <w:start w:val="1"/>
      <w:numFmt w:val="lowerRoman"/>
      <w:lvlText w:val="%9."/>
      <w:lvlJc w:val="right"/>
      <w:pPr>
        <w:tabs>
          <w:tab w:val="num" w:pos="1706"/>
        </w:tabs>
        <w:ind w:left="8531" w:hanging="180"/>
      </w:pPr>
    </w:lvl>
  </w:abstractNum>
  <w:abstractNum w:abstractNumId="9">
    <w:nsid w:val="7CAE7C23"/>
    <w:multiLevelType w:val="multilevel"/>
    <w:tmpl w:val="51F0E94A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529"/>
    <w:rsid w:val="000A1B34"/>
    <w:rsid w:val="000F141D"/>
    <w:rsid w:val="000F340E"/>
    <w:rsid w:val="000F7C38"/>
    <w:rsid w:val="00116BC5"/>
    <w:rsid w:val="001E1F58"/>
    <w:rsid w:val="001F2AA8"/>
    <w:rsid w:val="001F33C2"/>
    <w:rsid w:val="002C0930"/>
    <w:rsid w:val="00321F89"/>
    <w:rsid w:val="00367F94"/>
    <w:rsid w:val="00373960"/>
    <w:rsid w:val="003C0461"/>
    <w:rsid w:val="00450EED"/>
    <w:rsid w:val="004776B9"/>
    <w:rsid w:val="0048249A"/>
    <w:rsid w:val="004A72CF"/>
    <w:rsid w:val="004B7D19"/>
    <w:rsid w:val="004C0EF3"/>
    <w:rsid w:val="004E17FB"/>
    <w:rsid w:val="004F46A3"/>
    <w:rsid w:val="00570D4C"/>
    <w:rsid w:val="00584529"/>
    <w:rsid w:val="005A3758"/>
    <w:rsid w:val="005A511E"/>
    <w:rsid w:val="005A7E8E"/>
    <w:rsid w:val="005D148A"/>
    <w:rsid w:val="005D5807"/>
    <w:rsid w:val="005D5D6E"/>
    <w:rsid w:val="005F5B84"/>
    <w:rsid w:val="00663E3E"/>
    <w:rsid w:val="00675728"/>
    <w:rsid w:val="00683396"/>
    <w:rsid w:val="006C3108"/>
    <w:rsid w:val="00702EC9"/>
    <w:rsid w:val="0072460F"/>
    <w:rsid w:val="00726887"/>
    <w:rsid w:val="00731D17"/>
    <w:rsid w:val="00743CF3"/>
    <w:rsid w:val="00827159"/>
    <w:rsid w:val="008477B5"/>
    <w:rsid w:val="00875641"/>
    <w:rsid w:val="00892E80"/>
    <w:rsid w:val="0089569F"/>
    <w:rsid w:val="00952FA5"/>
    <w:rsid w:val="009A6C01"/>
    <w:rsid w:val="009E4818"/>
    <w:rsid w:val="00A43450"/>
    <w:rsid w:val="00A55F1B"/>
    <w:rsid w:val="00A7551F"/>
    <w:rsid w:val="00AA40B4"/>
    <w:rsid w:val="00AC5961"/>
    <w:rsid w:val="00B04F72"/>
    <w:rsid w:val="00B20DA5"/>
    <w:rsid w:val="00B21EEE"/>
    <w:rsid w:val="00B27FE4"/>
    <w:rsid w:val="00C578F4"/>
    <w:rsid w:val="00CF5CB4"/>
    <w:rsid w:val="00DE10F6"/>
    <w:rsid w:val="00FA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84529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84529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84529"/>
    <w:rPr>
      <w:rFonts w:ascii="Courier New" w:eastAsia="Times New Roman" w:hAnsi="Courier New" w:cs="Times New Roman"/>
      <w:sz w:val="24"/>
      <w:szCs w:val="20"/>
    </w:rPr>
  </w:style>
  <w:style w:type="paragraph" w:styleId="Cabealho">
    <w:name w:val="header"/>
    <w:basedOn w:val="Normal"/>
    <w:link w:val="CabealhoChar"/>
    <w:unhideWhenUsed/>
    <w:rsid w:val="005845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4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4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84529"/>
    <w:rPr>
      <w:rFonts w:ascii="Courier New" w:eastAsia="Times New Roman" w:hAnsi="Courier New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FA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16BC5"/>
    <w:pPr>
      <w:ind w:left="708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1E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1E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1">
    <w:name w:val="Heading 1"/>
    <w:basedOn w:val="Normal"/>
    <w:next w:val="Normal"/>
    <w:qFormat/>
    <w:rsid w:val="00683396"/>
    <w:pPr>
      <w:keepNext/>
      <w:suppressAutoHyphens/>
      <w:jc w:val="center"/>
      <w:outlineLvl w:val="0"/>
    </w:pPr>
    <w:rPr>
      <w:rFonts w:ascii="Arial" w:hAnsi="Arial"/>
      <w:sz w:val="28"/>
      <w:szCs w:val="20"/>
    </w:rPr>
  </w:style>
  <w:style w:type="table" w:styleId="Tabelacomgrade">
    <w:name w:val="Table Grid"/>
    <w:basedOn w:val="Tabelanormal"/>
    <w:uiPriority w:val="59"/>
    <w:rsid w:val="006833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C578F4"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Parlamentar_02</cp:lastModifiedBy>
  <cp:revision>3</cp:revision>
  <cp:lastPrinted>2021-03-30T13:02:00Z</cp:lastPrinted>
  <dcterms:created xsi:type="dcterms:W3CDTF">2021-12-20T14:09:00Z</dcterms:created>
  <dcterms:modified xsi:type="dcterms:W3CDTF">2021-12-20T14:22:00Z</dcterms:modified>
</cp:coreProperties>
</file>